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35329C" w:rsidRDefault="00210455" w:rsidP="00774D8E">
      <w:pPr>
        <w:rPr>
          <w:rFonts w:ascii="Calibri" w:hAnsi="Calibri" w:cs="Trebuchet MS"/>
          <w:szCs w:val="20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 xml:space="preserve">procedura negoziata ex art. 36 coMMA 2, letT. b), DEL D.lgs. 50/2016 per </w:t>
      </w:r>
      <w:r w:rsidR="00774D8E">
        <w:rPr>
          <w:rStyle w:val="BLOCKBOLD"/>
          <w:rFonts w:ascii="Calibri" w:hAnsi="Calibri"/>
          <w:szCs w:val="20"/>
        </w:rPr>
        <w:t xml:space="preserve">la </w:t>
      </w:r>
      <w:r w:rsidR="00774D8E" w:rsidRPr="00774D8E">
        <w:rPr>
          <w:rStyle w:val="BLOCKBOLD"/>
          <w:rFonts w:ascii="Calibri" w:hAnsi="Calibri"/>
          <w:szCs w:val="20"/>
        </w:rPr>
        <w:t>Fornitura di N. 15 gruppi di continuità – tipo convertibile tower/rack e N. 27 gruppi di continuità - tipo tower, e relativo servizio di manutenzione.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</w:t>
      </w:r>
      <w:r w:rsidR="00AB0DB5">
        <w:rPr>
          <w:rFonts w:ascii="Calibri" w:hAnsi="Calibri" w:cs="Calibri"/>
        </w:rPr>
        <w:t xml:space="preserve">lle consorziate non esecutrici </w:t>
      </w:r>
      <w:r w:rsidRPr="000C39E5">
        <w:rPr>
          <w:rFonts w:ascii="Calibri" w:hAnsi="Calibri" w:cs="Calibri"/>
        </w:rPr>
        <w:t>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>che ai sensi dell’art. 48, co 4 del Codice, le parti del servizio/fornitura, ovvero la percentuale in cas</w:t>
      </w:r>
      <w:bookmarkStart w:id="0" w:name="_GoBack"/>
      <w:bookmarkEnd w:id="0"/>
      <w:r w:rsidRPr="00384034">
        <w:rPr>
          <w:rFonts w:ascii="Calibri" w:hAnsi="Calibri" w:cs="Calibri"/>
          <w:szCs w:val="20"/>
        </w:rPr>
        <w:t xml:space="preserve">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774D8E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 xml:space="preserve">Procedura negoziata previa consultazione di elenco operatori ai sensi dell’art. 36 co. 2 lett. b) D.lgs. 50/2016 per  </w:t>
    </w:r>
    <w:r>
      <w:rPr>
        <w:noProof/>
      </w:rPr>
      <w:t>Fornitura Apparati di Continuità e Servizio di Manutenzione.</w:t>
    </w:r>
    <w:r w:rsidR="00E84153" w:rsidRPr="00E84153">
      <w:rPr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AB0DB5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AB0DB5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AB0DB5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AB0DB5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774D8E" w:rsidP="008556FB">
    <w:pPr>
      <w:pStyle w:val="Pidipagina"/>
      <w:rPr>
        <w:b/>
      </w:rPr>
    </w:pPr>
    <w:r>
      <w:rPr>
        <w:noProof/>
      </w:rPr>
      <w:t>Procedura negoziata previa c</w:t>
    </w:r>
    <w:r w:rsidR="00E84153" w:rsidRPr="00E84153">
      <w:rPr>
        <w:noProof/>
      </w:rPr>
      <w:t xml:space="preserve">onsultazione di elenco operatori ai sensi dell’art. 36 co. 2 lett. b) D.lgs. 50/2016 per  </w:t>
    </w:r>
    <w:r>
      <w:rPr>
        <w:noProof/>
      </w:rPr>
      <w:t>la Fornitura di Apparati di Continuità e Servizio di Manutenzione.</w:t>
    </w:r>
    <w:r w:rsidR="00E84153" w:rsidRPr="00E84153">
      <w:rPr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AB0DB5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AB0DB5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AB0DB5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AB0DB5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4D8E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0DB5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6CDBA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2020-02-05T10:35:00Z</dcterms:modified>
</cp:coreProperties>
</file>